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0ACA" w:rsidRPr="007A5D51" w:rsidRDefault="00A90ACA" w:rsidP="001D0E89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</w:t>
      </w:r>
      <w:r w:rsidRPr="003017C5">
        <w:rPr>
          <w:sz w:val="28"/>
          <w:szCs w:val="28"/>
        </w:rPr>
        <w:lastRenderedPageBreak/>
        <w:t xml:space="preserve">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505636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</w:t>
      </w:r>
      <w:r w:rsidRPr="003017C5">
        <w:rPr>
          <w:sz w:val="28"/>
          <w:szCs w:val="28"/>
        </w:rPr>
        <w:lastRenderedPageBreak/>
        <w:t xml:space="preserve">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</w:t>
      </w:r>
      <w:proofErr w:type="gramStart"/>
      <w:r w:rsidRPr="003017C5">
        <w:rPr>
          <w:sz w:val="28"/>
          <w:szCs w:val="28"/>
        </w:rPr>
        <w:t>банка</w:t>
      </w:r>
      <w:proofErr w:type="gramEnd"/>
      <w:r w:rsidRPr="003017C5">
        <w:rPr>
          <w:sz w:val="28"/>
          <w:szCs w:val="28"/>
        </w:rPr>
        <w:t xml:space="preserve">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  <w:bookmarkStart w:id="3" w:name="_GoBack"/>
      <w:bookmarkEnd w:id="3"/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AC" w:rsidRDefault="00D943AC" w:rsidP="00472D68">
      <w:r>
        <w:separator/>
      </w:r>
    </w:p>
  </w:endnote>
  <w:endnote w:type="continuationSeparator" w:id="1">
    <w:p w:rsidR="00D943AC" w:rsidRDefault="00D943AC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AC" w:rsidRDefault="00D943AC" w:rsidP="00472D68">
      <w:r>
        <w:separator/>
      </w:r>
    </w:p>
  </w:footnote>
  <w:footnote w:type="continuationSeparator" w:id="1">
    <w:p w:rsidR="00D943AC" w:rsidRDefault="00D943AC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7F1C59" w:rsidRDefault="00505636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="00472D68"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FF620B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D0E89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5636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45293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4BD9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CC29-1499-40F2-9DF6-562EE09E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9</TotalTime>
  <Pages>5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Специалист</cp:lastModifiedBy>
  <cp:revision>8</cp:revision>
  <cp:lastPrinted>2017-05-26T10:23:00Z</cp:lastPrinted>
  <dcterms:created xsi:type="dcterms:W3CDTF">2024-11-18T10:51:00Z</dcterms:created>
  <dcterms:modified xsi:type="dcterms:W3CDTF">2024-11-25T07:12:00Z</dcterms:modified>
</cp:coreProperties>
</file>